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B" w:rsidRDefault="004762CE" w:rsidP="00077EF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153B61">
        <w:rPr>
          <w:b/>
          <w:sz w:val="32"/>
          <w:szCs w:val="32"/>
        </w:rPr>
        <w:t>ersja 4.16S</w:t>
      </w:r>
    </w:p>
    <w:p w:rsidR="00940299" w:rsidRDefault="00940299" w:rsidP="00153B61">
      <w:pPr>
        <w:pStyle w:val="Akapitzlist"/>
        <w:ind w:left="1440"/>
      </w:pPr>
    </w:p>
    <w:p w:rsidR="00940299" w:rsidRDefault="00940299" w:rsidP="00940299">
      <w:pPr>
        <w:pStyle w:val="Akapitzlist"/>
        <w:spacing w:after="200" w:line="276" w:lineRule="auto"/>
      </w:pPr>
    </w:p>
    <w:p w:rsidR="00940299" w:rsidRDefault="00940299" w:rsidP="00940299">
      <w:pPr>
        <w:pStyle w:val="Akapitzlist"/>
        <w:numPr>
          <w:ilvl w:val="0"/>
          <w:numId w:val="32"/>
        </w:numPr>
        <w:spacing w:after="200" w:line="276" w:lineRule="auto"/>
      </w:pPr>
      <w:r>
        <w:t xml:space="preserve">Umożliwiono przewijanie </w:t>
      </w:r>
      <w:r>
        <w:rPr>
          <w:b/>
        </w:rPr>
        <w:t xml:space="preserve">Karty umowy </w:t>
      </w:r>
      <w:r>
        <w:t>poprzez dodanie „suwaka” po prawej stronie okna. Wprowadzona modyfikacja ułatwi przeglądanie umowy na ekranach typu „</w:t>
      </w:r>
      <w:proofErr w:type="spellStart"/>
      <w:r>
        <w:t>widescreen</w:t>
      </w:r>
      <w:proofErr w:type="spellEnd"/>
      <w:r>
        <w:t xml:space="preserve">” (duża szerokość w stosunku do </w:t>
      </w:r>
      <w:proofErr w:type="gramStart"/>
      <w:r>
        <w:t xml:space="preserve">wysokości) . </w:t>
      </w:r>
      <w:proofErr w:type="gramEnd"/>
      <w:r>
        <w:t>Uściślono ponadto dane oraz dodano dwa nowe pola:</w:t>
      </w:r>
    </w:p>
    <w:p w:rsidR="00940299" w:rsidRPr="00C21B57" w:rsidRDefault="00940299" w:rsidP="00940299">
      <w:pPr>
        <w:pStyle w:val="Akapitzlist"/>
        <w:rPr>
          <w:b/>
        </w:rPr>
      </w:pPr>
      <w:r>
        <w:rPr>
          <w:b/>
        </w:rPr>
        <w:t>Status zatrudnienia, Stan cywilny</w:t>
      </w:r>
    </w:p>
    <w:p w:rsidR="00940299" w:rsidRDefault="00940299" w:rsidP="00940299">
      <w:pPr>
        <w:jc w:val="center"/>
      </w:pPr>
      <w:r>
        <w:rPr>
          <w:noProof/>
        </w:rPr>
        <w:drawing>
          <wp:inline distT="0" distB="0" distL="0" distR="0" wp14:anchorId="12208994" wp14:editId="054AA499">
            <wp:extent cx="5762625" cy="343852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9" w:rsidRDefault="00940299" w:rsidP="00940299">
      <w:pPr>
        <w:pStyle w:val="Akapitzlist"/>
      </w:pPr>
    </w:p>
    <w:p w:rsidR="00940299" w:rsidRDefault="00940299" w:rsidP="00940299">
      <w:pPr>
        <w:pStyle w:val="Akapitzlist"/>
      </w:pPr>
    </w:p>
    <w:p w:rsidR="00940299" w:rsidRDefault="00940299" w:rsidP="00940299">
      <w:pPr>
        <w:pStyle w:val="Akapitzlist"/>
        <w:numPr>
          <w:ilvl w:val="0"/>
          <w:numId w:val="32"/>
        </w:numPr>
        <w:spacing w:after="200" w:line="276" w:lineRule="auto"/>
      </w:pPr>
      <w:r>
        <w:t xml:space="preserve">Dodano wiek poręczyciela w hurtowni danych. Zaznaczając opcję </w:t>
      </w:r>
      <w:r>
        <w:rPr>
          <w:b/>
        </w:rPr>
        <w:t xml:space="preserve">Dane poręczycieli </w:t>
      </w:r>
      <w:r>
        <w:t xml:space="preserve">lub </w:t>
      </w:r>
      <w:r>
        <w:rPr>
          <w:b/>
        </w:rPr>
        <w:t xml:space="preserve">Dane poręczycieli 2 </w:t>
      </w:r>
      <w:r>
        <w:t xml:space="preserve">w zakładce </w:t>
      </w:r>
      <w:proofErr w:type="gramStart"/>
      <w:r>
        <w:rPr>
          <w:b/>
        </w:rPr>
        <w:t xml:space="preserve">Umowa  </w:t>
      </w:r>
      <w:r>
        <w:t>uzyskamy</w:t>
      </w:r>
      <w:proofErr w:type="gramEnd"/>
      <w:r>
        <w:t xml:space="preserve"> prócz Imienia, nazwiska, adresu, telefonu dodatkowo </w:t>
      </w:r>
      <w:r>
        <w:rPr>
          <w:b/>
        </w:rPr>
        <w:t>wiek</w:t>
      </w:r>
      <w:r>
        <w:t xml:space="preserve"> poręczyciela.</w:t>
      </w:r>
    </w:p>
    <w:p w:rsidR="00940299" w:rsidRDefault="00940299" w:rsidP="00940299">
      <w:pPr>
        <w:jc w:val="center"/>
      </w:pPr>
      <w:r>
        <w:rPr>
          <w:noProof/>
        </w:rPr>
        <w:drawing>
          <wp:inline distT="0" distB="0" distL="0" distR="0" wp14:anchorId="20167733" wp14:editId="18E7A477">
            <wp:extent cx="5753100" cy="1343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9" w:rsidRDefault="00940299" w:rsidP="00940299">
      <w:pPr>
        <w:pStyle w:val="Akapitzlist"/>
      </w:pPr>
    </w:p>
    <w:p w:rsidR="00940299" w:rsidRPr="007D22BA" w:rsidRDefault="00940299" w:rsidP="00940299">
      <w:pPr>
        <w:pStyle w:val="Akapitzlist"/>
        <w:numPr>
          <w:ilvl w:val="0"/>
          <w:numId w:val="32"/>
        </w:numPr>
        <w:spacing w:after="200" w:line="276" w:lineRule="auto"/>
      </w:pPr>
      <w:r>
        <w:t xml:space="preserve">Dołączono 7 nowych znaczników dla umów. Można je podejrzeć w menu </w:t>
      </w:r>
      <w:r>
        <w:rPr>
          <w:b/>
        </w:rPr>
        <w:t>Baza</w:t>
      </w:r>
      <w:r w:rsidRPr="007D22BA">
        <w:rPr>
          <w:b/>
        </w:rPr>
        <w:sym w:font="Wingdings" w:char="F0E0"/>
      </w:r>
      <w:r>
        <w:rPr>
          <w:b/>
        </w:rPr>
        <w:t>Słowniki</w:t>
      </w:r>
      <w:r w:rsidRPr="007D22BA">
        <w:rPr>
          <w:b/>
        </w:rPr>
        <w:sym w:font="Wingdings" w:char="F0E0"/>
      </w:r>
      <w:r>
        <w:rPr>
          <w:b/>
        </w:rPr>
        <w:t>Znaczniki-definicje</w:t>
      </w:r>
    </w:p>
    <w:p w:rsidR="00940299" w:rsidRDefault="00940299" w:rsidP="00940299">
      <w:pPr>
        <w:jc w:val="center"/>
      </w:pPr>
      <w:r>
        <w:rPr>
          <w:noProof/>
        </w:rPr>
        <w:lastRenderedPageBreak/>
        <w:drawing>
          <wp:inline distT="0" distB="0" distL="0" distR="0" wp14:anchorId="0C778E15" wp14:editId="61926117">
            <wp:extent cx="5753100" cy="1952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9" w:rsidRDefault="00940299" w:rsidP="00940299">
      <w:pPr>
        <w:jc w:val="center"/>
      </w:pPr>
    </w:p>
    <w:p w:rsidR="00940299" w:rsidRDefault="00940299" w:rsidP="00940299">
      <w:r>
        <w:tab/>
        <w:t>Znaczenie podanych znaczników:</w:t>
      </w:r>
    </w:p>
    <w:p w:rsidR="00940299" w:rsidRDefault="00940299" w:rsidP="00940299">
      <w:pPr>
        <w:pStyle w:val="Akapitzlist"/>
        <w:numPr>
          <w:ilvl w:val="0"/>
          <w:numId w:val="33"/>
        </w:numPr>
        <w:spacing w:after="200" w:line="276" w:lineRule="auto"/>
      </w:pPr>
      <w:r>
        <w:t xml:space="preserve">RELATION CLIENT - wszyscy </w:t>
      </w:r>
      <w:proofErr w:type="gramStart"/>
      <w:r>
        <w:t>klienci którzy</w:t>
      </w:r>
      <w:proofErr w:type="gramEnd"/>
      <w:r>
        <w:t xml:space="preserve"> nie mają spłaconych 50 % kapitałów, jak również ci dopiero wypłaceni,</w:t>
      </w:r>
    </w:p>
    <w:p w:rsidR="00940299" w:rsidRDefault="00940299" w:rsidP="00940299">
      <w:pPr>
        <w:pStyle w:val="Akapitzlist"/>
        <w:numPr>
          <w:ilvl w:val="0"/>
          <w:numId w:val="33"/>
        </w:numPr>
        <w:spacing w:after="200" w:line="276" w:lineRule="auto"/>
      </w:pPr>
      <w:r>
        <w:t xml:space="preserve">TOP-UP CLIENT – umowy ze spłatą powyżej 50 % </w:t>
      </w:r>
      <w:proofErr w:type="gramStart"/>
      <w:r>
        <w:t>kapitału  przed</w:t>
      </w:r>
      <w:proofErr w:type="gramEnd"/>
      <w:r>
        <w:t xml:space="preserve"> 90 dniem do spłaty pożyczki,</w:t>
      </w:r>
    </w:p>
    <w:p w:rsidR="00940299" w:rsidRDefault="00940299" w:rsidP="00940299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</w:rPr>
      </w:pPr>
      <w:r>
        <w:t xml:space="preserve">MATURITY CLIENT - </w:t>
      </w:r>
      <w:r w:rsidRPr="007D22BA">
        <w:rPr>
          <w:rFonts w:cstheme="minorHAnsi"/>
        </w:rPr>
        <w:t>spłata 50% kapitału, pomiędzy 90 a 30 dni do daty spłaty pożyczki</w:t>
      </w:r>
      <w:r>
        <w:rPr>
          <w:rFonts w:cstheme="minorHAnsi"/>
        </w:rPr>
        <w:t>,</w:t>
      </w:r>
    </w:p>
    <w:p w:rsidR="00940299" w:rsidRDefault="00940299" w:rsidP="00940299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</w:rPr>
      </w:pPr>
      <w:r>
        <w:t>DROP OUT CLIENT –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spłata  </w:t>
      </w:r>
      <w:r w:rsidRPr="007654B5">
        <w:rPr>
          <w:rFonts w:cstheme="minorHAnsi"/>
        </w:rPr>
        <w:t>50%</w:t>
      </w:r>
      <w:r>
        <w:rPr>
          <w:rFonts w:cstheme="minorHAnsi"/>
        </w:rPr>
        <w:t xml:space="preserve"> kapitału</w:t>
      </w:r>
      <w:proofErr w:type="gramEnd"/>
      <w:r>
        <w:rPr>
          <w:rFonts w:cstheme="minorHAnsi"/>
        </w:rPr>
        <w:t xml:space="preserve"> </w:t>
      </w:r>
      <w:r w:rsidRPr="007654B5">
        <w:rPr>
          <w:rFonts w:cstheme="minorHAnsi"/>
        </w:rPr>
        <w:t>; +/-30 dni do/od ustalonej daty spłaty pożyczki</w:t>
      </w:r>
      <w:r>
        <w:rPr>
          <w:rFonts w:cstheme="minorHAnsi"/>
        </w:rPr>
        <w:t>,</w:t>
      </w:r>
    </w:p>
    <w:p w:rsidR="00940299" w:rsidRDefault="00940299" w:rsidP="00940299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RETENSION CLIENT - </w:t>
      </w:r>
      <w:r w:rsidRPr="007654B5">
        <w:rPr>
          <w:rFonts w:cstheme="minorHAnsi"/>
        </w:rPr>
        <w:t>od 30 do 180 dnia od daty spłaty pożyczki</w:t>
      </w:r>
      <w:r>
        <w:rPr>
          <w:rFonts w:cstheme="minorHAnsi"/>
        </w:rPr>
        <w:t>,</w:t>
      </w:r>
    </w:p>
    <w:p w:rsidR="00940299" w:rsidRDefault="00940299" w:rsidP="00940299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RETURN CLIENT - </w:t>
      </w:r>
      <w:r w:rsidRPr="007654B5">
        <w:rPr>
          <w:rFonts w:cstheme="minorHAnsi"/>
        </w:rPr>
        <w:t>od 181 do1080 dnia od daty spłaty pożyczki</w:t>
      </w:r>
      <w:r>
        <w:rPr>
          <w:rFonts w:cstheme="minorHAnsi"/>
        </w:rPr>
        <w:t>,</w:t>
      </w:r>
    </w:p>
    <w:p w:rsidR="00940299" w:rsidRDefault="00940299" w:rsidP="00940299">
      <w:pPr>
        <w:pStyle w:val="Akapitzlist"/>
        <w:numPr>
          <w:ilvl w:val="0"/>
          <w:numId w:val="3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NEW </w:t>
      </w:r>
      <w:proofErr w:type="spellStart"/>
      <w:r>
        <w:rPr>
          <w:rFonts w:cstheme="minorHAnsi"/>
        </w:rPr>
        <w:t>NEW</w:t>
      </w:r>
      <w:proofErr w:type="spellEnd"/>
      <w:r>
        <w:rPr>
          <w:rFonts w:cstheme="minorHAnsi"/>
        </w:rPr>
        <w:t xml:space="preserve"> CLIENT - </w:t>
      </w:r>
      <w:r w:rsidRPr="007654B5">
        <w:rPr>
          <w:rFonts w:cstheme="minorHAnsi"/>
        </w:rPr>
        <w:t>powyżej 1080 dnia od spłaty pożyczki</w:t>
      </w:r>
      <w:r>
        <w:rPr>
          <w:rFonts w:cstheme="minorHAnsi"/>
        </w:rPr>
        <w:t>,</w:t>
      </w:r>
    </w:p>
    <w:p w:rsidR="00940299" w:rsidRDefault="00940299" w:rsidP="00940299">
      <w:pPr>
        <w:ind w:left="708"/>
        <w:rPr>
          <w:rFonts w:cstheme="minorHAnsi"/>
        </w:rPr>
      </w:pPr>
      <w:r>
        <w:rPr>
          <w:rFonts w:cstheme="minorHAnsi"/>
        </w:rPr>
        <w:t xml:space="preserve">Oznaczenie umów </w:t>
      </w:r>
      <w:proofErr w:type="spellStart"/>
      <w:r>
        <w:rPr>
          <w:rFonts w:cstheme="minorHAnsi"/>
        </w:rPr>
        <w:t>ww</w:t>
      </w:r>
      <w:proofErr w:type="spellEnd"/>
      <w:r>
        <w:rPr>
          <w:rFonts w:cstheme="minorHAnsi"/>
        </w:rPr>
        <w:t xml:space="preserve"> znacznikami odbywa się podczas zamknięcia dnia (przetwarzania).</w:t>
      </w:r>
    </w:p>
    <w:p w:rsidR="00940299" w:rsidRDefault="00940299" w:rsidP="00940299">
      <w:pPr>
        <w:ind w:left="708"/>
        <w:rPr>
          <w:rFonts w:cstheme="minorHAnsi"/>
        </w:rPr>
      </w:pPr>
      <w:r>
        <w:rPr>
          <w:rFonts w:cstheme="minorHAnsi"/>
        </w:rPr>
        <w:t>Należy wcześnie włączyć w konfiguracji przeliczanie tych znaczników.</w:t>
      </w:r>
    </w:p>
    <w:p w:rsidR="00940299" w:rsidRDefault="00940299" w:rsidP="00940299">
      <w:pPr>
        <w:ind w:left="708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4375B6C" wp14:editId="1ABB1887">
            <wp:extent cx="5753100" cy="3038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9" w:rsidRDefault="00940299" w:rsidP="00940299">
      <w:pPr>
        <w:ind w:left="708"/>
        <w:rPr>
          <w:rFonts w:cstheme="minorHAnsi"/>
        </w:rPr>
      </w:pPr>
      <w:r>
        <w:rPr>
          <w:rFonts w:cstheme="minorHAnsi"/>
        </w:rPr>
        <w:t>Teraz za każdym razem zamknięcia dnia/miesiąca dokona się aktualizacja(przeliczenie) oznaczeń opisanych znaczników do klientów.</w:t>
      </w:r>
    </w:p>
    <w:p w:rsidR="00940299" w:rsidRDefault="00940299" w:rsidP="00940299">
      <w:pPr>
        <w:ind w:left="708"/>
        <w:rPr>
          <w:rFonts w:cstheme="minorHAnsi"/>
        </w:rPr>
      </w:pPr>
    </w:p>
    <w:p w:rsidR="00940299" w:rsidRDefault="00940299" w:rsidP="00940299">
      <w:pPr>
        <w:pStyle w:val="Akapitzlist"/>
        <w:numPr>
          <w:ilvl w:val="0"/>
          <w:numId w:val="3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Dodano nowy znacznik </w:t>
      </w:r>
      <w:r>
        <w:rPr>
          <w:rFonts w:cstheme="minorHAnsi"/>
          <w:b/>
        </w:rPr>
        <w:t xml:space="preserve">[TYP_KLIENTA] – </w:t>
      </w:r>
      <w:r>
        <w:rPr>
          <w:rFonts w:cstheme="minorHAnsi"/>
        </w:rPr>
        <w:t>pobierający dane „Typ klienta” z danych klienta.</w:t>
      </w:r>
    </w:p>
    <w:p w:rsidR="00940299" w:rsidRDefault="00940299" w:rsidP="00940299">
      <w:pPr>
        <w:pStyle w:val="Akapitzlist"/>
        <w:rPr>
          <w:rFonts w:cstheme="minorHAnsi"/>
        </w:rPr>
      </w:pPr>
    </w:p>
    <w:p w:rsidR="00940299" w:rsidRDefault="00940299" w:rsidP="00940299">
      <w:pPr>
        <w:pStyle w:val="Akapitzlist"/>
        <w:numPr>
          <w:ilvl w:val="0"/>
          <w:numId w:val="3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Nowa wartość słownikowa określająca relacje pomiędzy klientem a poręczycielem.</w:t>
      </w:r>
    </w:p>
    <w:p w:rsidR="00940299" w:rsidRDefault="00940299" w:rsidP="00940299">
      <w:pPr>
        <w:rPr>
          <w:rFonts w:cstheme="minorHAnsi"/>
        </w:rPr>
      </w:pPr>
    </w:p>
    <w:p w:rsidR="00940299" w:rsidRDefault="00940299" w:rsidP="00940299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A34EF14" wp14:editId="2BC49075">
            <wp:extent cx="4429125" cy="5191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9" w:rsidRDefault="00940299" w:rsidP="00940299">
      <w:pPr>
        <w:jc w:val="center"/>
        <w:rPr>
          <w:rFonts w:cstheme="minorHAnsi"/>
        </w:rPr>
      </w:pPr>
    </w:p>
    <w:p w:rsidR="00940299" w:rsidRDefault="00940299" w:rsidP="00940299">
      <w:pPr>
        <w:rPr>
          <w:rFonts w:cstheme="minorHAnsi"/>
        </w:rPr>
      </w:pPr>
      <w:r>
        <w:rPr>
          <w:rFonts w:cstheme="minorHAnsi"/>
        </w:rPr>
        <w:tab/>
        <w:t>Wypełniamy ten słownik wedle własnych potrzeb. Zapisane dane wykorzystujemy w zabezpieczeniu pożyczki w celu określenia wspólnych relacji klient-</w:t>
      </w:r>
      <w:proofErr w:type="spellStart"/>
      <w:r>
        <w:rPr>
          <w:rFonts w:cstheme="minorHAnsi"/>
        </w:rPr>
        <w:t>pręczyciel</w:t>
      </w:r>
      <w:proofErr w:type="spellEnd"/>
      <w:r>
        <w:rPr>
          <w:rFonts w:cstheme="minorHAnsi"/>
        </w:rPr>
        <w:t>.</w:t>
      </w:r>
    </w:p>
    <w:p w:rsidR="00940299" w:rsidRDefault="00940299" w:rsidP="00940299">
      <w:pPr>
        <w:rPr>
          <w:rFonts w:cstheme="minorHAnsi"/>
        </w:rPr>
      </w:pPr>
    </w:p>
    <w:p w:rsidR="00940299" w:rsidRDefault="00940299" w:rsidP="00940299">
      <w:pPr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EE6A934" wp14:editId="61F5FB6B">
            <wp:extent cx="5762625" cy="47339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9" w:rsidRDefault="00940299" w:rsidP="00940299">
      <w:pPr>
        <w:jc w:val="center"/>
        <w:rPr>
          <w:rFonts w:cstheme="minorHAnsi"/>
        </w:rPr>
      </w:pPr>
    </w:p>
    <w:p w:rsidR="00940299" w:rsidRDefault="00940299" w:rsidP="00940299">
      <w:pPr>
        <w:pStyle w:val="Akapitzlist"/>
        <w:numPr>
          <w:ilvl w:val="0"/>
          <w:numId w:val="3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Na ekranie </w:t>
      </w:r>
      <w:proofErr w:type="spellStart"/>
      <w:r>
        <w:rPr>
          <w:rFonts w:cstheme="minorHAnsi"/>
          <w:b/>
        </w:rPr>
        <w:t>Zaleglości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</w:rPr>
        <w:t>dodano nową kolumnę „Grupa klienta”, która jest grupą klienta pobieraną z danych kontrahenta. Istnieje możliwość sortowania zaległości po grupie klienta poprzez dwukrotne kliknięcie w nagłówek kolumny.</w:t>
      </w:r>
    </w:p>
    <w:p w:rsidR="00940299" w:rsidRDefault="00940299" w:rsidP="00940299">
      <w:pPr>
        <w:pStyle w:val="Akapitzlist"/>
        <w:rPr>
          <w:rFonts w:cstheme="minorHAnsi"/>
        </w:rPr>
      </w:pPr>
    </w:p>
    <w:p w:rsidR="00940299" w:rsidRDefault="00940299" w:rsidP="00940299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26D8E01" wp14:editId="1FEDAA6F">
            <wp:extent cx="5753100" cy="20383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9" w:rsidRDefault="00940299" w:rsidP="00940299">
      <w:pPr>
        <w:rPr>
          <w:rFonts w:cstheme="minorHAnsi"/>
        </w:rPr>
      </w:pPr>
    </w:p>
    <w:p w:rsidR="00940299" w:rsidRDefault="00940299" w:rsidP="00940299">
      <w:pPr>
        <w:rPr>
          <w:rFonts w:cstheme="minorHAnsi"/>
        </w:rPr>
      </w:pPr>
    </w:p>
    <w:p w:rsidR="00940299" w:rsidRDefault="00940299" w:rsidP="00940299">
      <w:pPr>
        <w:pStyle w:val="Akapitzlist"/>
        <w:numPr>
          <w:ilvl w:val="0"/>
          <w:numId w:val="3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Przy rozksięgowaniu przelewów (menu </w:t>
      </w:r>
      <w:r>
        <w:rPr>
          <w:rFonts w:cstheme="minorHAnsi"/>
          <w:b/>
        </w:rPr>
        <w:t>Baza</w:t>
      </w:r>
      <w:r w:rsidRPr="00482DC4">
        <w:rPr>
          <w:rFonts w:cstheme="minorHAnsi"/>
          <w:b/>
        </w:rPr>
        <w:sym w:font="Wingdings" w:char="F0E0"/>
      </w:r>
      <w:r>
        <w:rPr>
          <w:rFonts w:cstheme="minorHAnsi"/>
          <w:b/>
        </w:rPr>
        <w:t>ELIXIR</w:t>
      </w:r>
      <w:r w:rsidRPr="00482DC4">
        <w:rPr>
          <w:rFonts w:cstheme="minorHAnsi"/>
          <w:b/>
        </w:rPr>
        <w:sym w:font="Wingdings" w:char="F0E0"/>
      </w:r>
      <w:r>
        <w:rPr>
          <w:rFonts w:cstheme="minorHAnsi"/>
          <w:b/>
        </w:rPr>
        <w:t xml:space="preserve">Rozksięgowanie </w:t>
      </w:r>
      <w:proofErr w:type="gramStart"/>
      <w:r>
        <w:rPr>
          <w:rFonts w:cstheme="minorHAnsi"/>
          <w:b/>
        </w:rPr>
        <w:t>komunikatów</w:t>
      </w:r>
      <w:r>
        <w:rPr>
          <w:rFonts w:cstheme="minorHAnsi"/>
        </w:rPr>
        <w:t>)  w</w:t>
      </w:r>
      <w:proofErr w:type="gramEnd"/>
      <w:r>
        <w:rPr>
          <w:rFonts w:cstheme="minorHAnsi"/>
        </w:rPr>
        <w:t xml:space="preserve"> przypadku gdy umowa jest zakończona zostaniemy o tym poinformowani odpowiednim komunikatem i dany przelew nie zostanie rozksięgowany.</w:t>
      </w:r>
    </w:p>
    <w:p w:rsidR="00940299" w:rsidRDefault="00940299" w:rsidP="00940299">
      <w:pPr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6E0E0A7" wp14:editId="7C172DC6">
            <wp:extent cx="2695575" cy="16287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9" w:rsidRDefault="00940299" w:rsidP="00940299">
      <w:pPr>
        <w:jc w:val="center"/>
        <w:rPr>
          <w:rFonts w:cstheme="minorHAnsi"/>
        </w:rPr>
      </w:pPr>
    </w:p>
    <w:p w:rsidR="00940299" w:rsidRDefault="00940299" w:rsidP="00940299">
      <w:pPr>
        <w:pStyle w:val="Akapitzlist"/>
        <w:numPr>
          <w:ilvl w:val="0"/>
          <w:numId w:val="3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Zmiany w wydrukach in Blanco:</w:t>
      </w:r>
    </w:p>
    <w:p w:rsidR="00940299" w:rsidRDefault="00940299" w:rsidP="00940299">
      <w:pPr>
        <w:pStyle w:val="Akapitzlist"/>
        <w:rPr>
          <w:rFonts w:cstheme="minorHAnsi"/>
          <w:b/>
        </w:rPr>
      </w:pPr>
      <w:r>
        <w:rPr>
          <w:rFonts w:cstheme="minorHAnsi"/>
        </w:rPr>
        <w:t xml:space="preserve">- Możliwość rozróżniania wydruków wpłat (dla numeracji tych druków ustawiamy licznik o nazwie </w:t>
      </w:r>
      <w:r>
        <w:rPr>
          <w:rFonts w:cstheme="minorHAnsi"/>
          <w:b/>
        </w:rPr>
        <w:t>DR)</w:t>
      </w:r>
    </w:p>
    <w:p w:rsidR="00940299" w:rsidRDefault="00940299" w:rsidP="00940299">
      <w:pPr>
        <w:pStyle w:val="Akapitzlist"/>
        <w:rPr>
          <w:rFonts w:cstheme="minorHAnsi"/>
        </w:rPr>
      </w:pPr>
      <w:r>
        <w:rPr>
          <w:rFonts w:cstheme="minorHAnsi"/>
          <w:b/>
        </w:rPr>
        <w:t xml:space="preserve">- </w:t>
      </w:r>
      <w:r>
        <w:rPr>
          <w:rFonts w:cstheme="minorHAnsi"/>
        </w:rPr>
        <w:t xml:space="preserve">wydruki umów (dla numeracji licznik o nazwie </w:t>
      </w:r>
      <w:r>
        <w:rPr>
          <w:rFonts w:cstheme="minorHAnsi"/>
          <w:b/>
        </w:rPr>
        <w:t>DRU</w:t>
      </w:r>
      <w:r>
        <w:rPr>
          <w:rFonts w:cstheme="minorHAnsi"/>
        </w:rPr>
        <w:t>).</w:t>
      </w:r>
    </w:p>
    <w:p w:rsidR="00940299" w:rsidRDefault="00940299" w:rsidP="00940299">
      <w:pPr>
        <w:rPr>
          <w:rFonts w:cstheme="minorHAnsi"/>
        </w:rPr>
      </w:pPr>
      <w:r>
        <w:rPr>
          <w:rFonts w:cstheme="minorHAnsi"/>
        </w:rPr>
        <w:tab/>
        <w:t>Możliwość filtrowania druków po Rodzaju (Umowa, Wpłata). Przy zapisie/druku wskazuje czy dany dokument będzie umową czy wpłatą.</w:t>
      </w:r>
    </w:p>
    <w:p w:rsidR="00940299" w:rsidRDefault="00940299" w:rsidP="00940299">
      <w:pPr>
        <w:rPr>
          <w:rFonts w:cstheme="minorHAnsi"/>
        </w:rPr>
      </w:pPr>
      <w:r>
        <w:rPr>
          <w:rFonts w:cstheme="minorHAnsi"/>
        </w:rPr>
        <w:t xml:space="preserve"> Możliwość wydrukowania zestawienia danych wzorców dla danego pośrednika.</w:t>
      </w:r>
    </w:p>
    <w:p w:rsidR="00940299" w:rsidRDefault="00940299" w:rsidP="00940299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FD97D9B" wp14:editId="25B462DA">
            <wp:extent cx="5759450" cy="17526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9" w:rsidRDefault="00940299" w:rsidP="00940299">
      <w:pPr>
        <w:rPr>
          <w:rFonts w:cstheme="minorHAnsi"/>
        </w:rPr>
      </w:pPr>
    </w:p>
    <w:p w:rsidR="00940299" w:rsidRPr="004310E4" w:rsidRDefault="00940299" w:rsidP="00940299">
      <w:pPr>
        <w:rPr>
          <w:rFonts w:cstheme="minorHAnsi"/>
        </w:rPr>
      </w:pPr>
      <w:proofErr w:type="gramStart"/>
      <w:r>
        <w:rPr>
          <w:rFonts w:cstheme="minorHAnsi"/>
        </w:rPr>
        <w:t xml:space="preserve">UWAGA ! </w:t>
      </w:r>
      <w:proofErr w:type="gramEnd"/>
      <w:r>
        <w:rPr>
          <w:rFonts w:cstheme="minorHAnsi"/>
        </w:rPr>
        <w:t xml:space="preserve">Dokładniejsza instrukcja korzystania z wydruków </w:t>
      </w:r>
      <w:proofErr w:type="spellStart"/>
      <w:r>
        <w:rPr>
          <w:rFonts w:cstheme="minorHAnsi"/>
        </w:rPr>
        <w:t>inBlanco</w:t>
      </w:r>
      <w:proofErr w:type="spellEnd"/>
      <w:r>
        <w:rPr>
          <w:rFonts w:cstheme="minorHAnsi"/>
        </w:rPr>
        <w:t xml:space="preserve"> w pliku „Instrukcja Druków inBlanco.</w:t>
      </w:r>
      <w:proofErr w:type="gramStart"/>
      <w:r>
        <w:rPr>
          <w:rFonts w:cstheme="minorHAnsi"/>
        </w:rPr>
        <w:t>docx</w:t>
      </w:r>
      <w:proofErr w:type="gramEnd"/>
      <w:r>
        <w:rPr>
          <w:rFonts w:cstheme="minorHAnsi"/>
        </w:rPr>
        <w:t>”</w:t>
      </w:r>
    </w:p>
    <w:p w:rsidR="00940299" w:rsidRDefault="00940299" w:rsidP="00940299">
      <w:pPr>
        <w:pStyle w:val="Akapitzlist"/>
        <w:rPr>
          <w:rFonts w:cstheme="minorHAnsi"/>
        </w:rPr>
      </w:pPr>
    </w:p>
    <w:p w:rsidR="00940299" w:rsidRDefault="00940299" w:rsidP="00940299">
      <w:pPr>
        <w:pStyle w:val="Akapitzlist"/>
        <w:numPr>
          <w:ilvl w:val="0"/>
          <w:numId w:val="3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Przy spłacie dodano pole, w którym wpisujemy nazwę Druku </w:t>
      </w:r>
      <w:proofErr w:type="spellStart"/>
      <w:r>
        <w:rPr>
          <w:rFonts w:cstheme="minorHAnsi"/>
        </w:rPr>
        <w:t>InBlanco</w:t>
      </w:r>
      <w:proofErr w:type="spellEnd"/>
      <w:r>
        <w:rPr>
          <w:rFonts w:cstheme="minorHAnsi"/>
        </w:rPr>
        <w:t>. Jeżeli na nim została wpisana spłata klienta. Po poprawnym wprowadzeniu nazwy podany druk automatycznie zmienia status na „Zwrócony”.</w:t>
      </w:r>
    </w:p>
    <w:p w:rsidR="00940299" w:rsidRDefault="00940299" w:rsidP="00940299">
      <w:pPr>
        <w:rPr>
          <w:rFonts w:cstheme="minorHAnsi"/>
        </w:rPr>
      </w:pPr>
    </w:p>
    <w:p w:rsidR="00940299" w:rsidRDefault="00940299" w:rsidP="00940299">
      <w:pPr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42F9FD06" wp14:editId="0B6CAABF">
            <wp:extent cx="4781550" cy="46863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9" w:rsidRDefault="00940299" w:rsidP="00940299">
      <w:pPr>
        <w:jc w:val="center"/>
        <w:rPr>
          <w:rFonts w:cstheme="minorHAnsi"/>
        </w:rPr>
      </w:pPr>
    </w:p>
    <w:p w:rsidR="00940299" w:rsidRDefault="00940299" w:rsidP="00940299">
      <w:pPr>
        <w:pStyle w:val="Akapitzlist"/>
        <w:numPr>
          <w:ilvl w:val="0"/>
          <w:numId w:val="3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W skróconym wniosku dla osób fizycznych dołączono również wprowadzanie nazw druków </w:t>
      </w:r>
      <w:proofErr w:type="spellStart"/>
      <w:r>
        <w:rPr>
          <w:rFonts w:cstheme="minorHAnsi"/>
        </w:rPr>
        <w:t>inBlanco</w:t>
      </w:r>
      <w:proofErr w:type="spellEnd"/>
      <w:r>
        <w:rPr>
          <w:rFonts w:cstheme="minorHAnsi"/>
        </w:rPr>
        <w:t xml:space="preserve"> (wzorce umów).</w:t>
      </w:r>
    </w:p>
    <w:p w:rsidR="00940299" w:rsidRDefault="00940299" w:rsidP="00940299">
      <w:pPr>
        <w:pStyle w:val="Akapitzlist"/>
        <w:rPr>
          <w:rFonts w:cstheme="minorHAnsi"/>
        </w:rPr>
      </w:pPr>
      <w:r>
        <w:rPr>
          <w:rFonts w:cstheme="minorHAnsi"/>
        </w:rPr>
        <w:t>Dodano również możliwość wprowadzania zabezpieczenia na etapie tworzenia umowy.</w:t>
      </w:r>
    </w:p>
    <w:p w:rsidR="00940299" w:rsidRDefault="00940299" w:rsidP="00940299">
      <w:pPr>
        <w:pStyle w:val="Akapitzlist"/>
        <w:rPr>
          <w:rFonts w:cstheme="minorHAnsi"/>
        </w:rPr>
      </w:pPr>
    </w:p>
    <w:p w:rsidR="00940299" w:rsidRDefault="00940299" w:rsidP="00940299">
      <w:pPr>
        <w:pStyle w:val="Akapitzlist"/>
        <w:rPr>
          <w:rFonts w:cstheme="minorHAnsi"/>
          <w:b/>
        </w:rPr>
      </w:pPr>
      <w:r>
        <w:rPr>
          <w:rFonts w:cstheme="minorHAnsi"/>
        </w:rPr>
        <w:t xml:space="preserve">Opcje te działają jedynie dla produktów o </w:t>
      </w:r>
      <w:r>
        <w:rPr>
          <w:rFonts w:cstheme="minorHAnsi"/>
          <w:b/>
        </w:rPr>
        <w:t xml:space="preserve">automatycznej akceptacji wniosku </w:t>
      </w:r>
      <w:r>
        <w:rPr>
          <w:rFonts w:cstheme="minorHAnsi"/>
        </w:rPr>
        <w:t xml:space="preserve">i </w:t>
      </w:r>
      <w:r>
        <w:rPr>
          <w:rFonts w:cstheme="minorHAnsi"/>
          <w:b/>
        </w:rPr>
        <w:t>automatycznego zakładaniu umowy z wniosku.</w:t>
      </w:r>
    </w:p>
    <w:p w:rsidR="00940299" w:rsidRDefault="00940299" w:rsidP="00940299">
      <w:pPr>
        <w:pStyle w:val="Akapitzlist"/>
        <w:rPr>
          <w:rFonts w:cstheme="minorHAnsi"/>
          <w:b/>
        </w:rPr>
      </w:pPr>
    </w:p>
    <w:p w:rsidR="00940299" w:rsidRPr="00EC2B06" w:rsidRDefault="00940299" w:rsidP="00940299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w:drawing>
          <wp:inline distT="0" distB="0" distL="0" distR="0" wp14:anchorId="5A12EDFE" wp14:editId="234112ED">
            <wp:extent cx="5753100" cy="41814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9" w:rsidRDefault="00940299" w:rsidP="00940299">
      <w:pPr>
        <w:rPr>
          <w:rFonts w:cstheme="minorHAnsi"/>
        </w:rPr>
      </w:pPr>
    </w:p>
    <w:p w:rsidR="00940299" w:rsidRPr="00673FDA" w:rsidRDefault="00940299" w:rsidP="00940299">
      <w:pPr>
        <w:pStyle w:val="Akapitzlist"/>
        <w:numPr>
          <w:ilvl w:val="0"/>
          <w:numId w:val="3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W raporcie </w:t>
      </w:r>
      <w:r>
        <w:rPr>
          <w:rFonts w:cstheme="minorHAnsi"/>
          <w:b/>
        </w:rPr>
        <w:t>Spłat</w:t>
      </w:r>
      <w:r>
        <w:rPr>
          <w:rFonts w:cstheme="minorHAnsi"/>
        </w:rPr>
        <w:t xml:space="preserve"> jak również w raporcie </w:t>
      </w:r>
      <w:r>
        <w:rPr>
          <w:rFonts w:cstheme="minorHAnsi"/>
          <w:b/>
        </w:rPr>
        <w:t xml:space="preserve">zaległości z podziałem na fundusze </w:t>
      </w:r>
      <w:r>
        <w:rPr>
          <w:rFonts w:cstheme="minorHAnsi"/>
        </w:rPr>
        <w:t xml:space="preserve">i </w:t>
      </w:r>
      <w:r>
        <w:rPr>
          <w:rFonts w:cstheme="minorHAnsi"/>
          <w:b/>
        </w:rPr>
        <w:t xml:space="preserve">Stanów </w:t>
      </w:r>
      <w:r>
        <w:rPr>
          <w:rFonts w:cstheme="minorHAnsi"/>
        </w:rPr>
        <w:t xml:space="preserve">wyodrębniono </w:t>
      </w:r>
      <w:r w:rsidRPr="00673FDA">
        <w:rPr>
          <w:rFonts w:cstheme="minorHAnsi"/>
        </w:rPr>
        <w:t xml:space="preserve">z pozycji prowizje ogólne </w:t>
      </w:r>
      <w:r w:rsidRPr="00673FDA">
        <w:rPr>
          <w:rFonts w:cstheme="minorHAnsi"/>
          <w:b/>
        </w:rPr>
        <w:t>Prowizję od korespondencji</w:t>
      </w:r>
      <w:r w:rsidRPr="00673FDA">
        <w:rPr>
          <w:rFonts w:cstheme="minorHAnsi"/>
        </w:rPr>
        <w:t xml:space="preserve"> jak osobna kolumna, która wybieramy odpowiednio w konfiguracji danych raportów.</w:t>
      </w:r>
    </w:p>
    <w:p w:rsidR="00940299" w:rsidRDefault="00940299" w:rsidP="00940299">
      <w:pPr>
        <w:pStyle w:val="Akapitzlist"/>
        <w:rPr>
          <w:rFonts w:cstheme="minorHAnsi"/>
        </w:rPr>
      </w:pPr>
    </w:p>
    <w:p w:rsidR="00940299" w:rsidRDefault="00940299" w:rsidP="00940299">
      <w:pPr>
        <w:pStyle w:val="Akapitzlist"/>
        <w:numPr>
          <w:ilvl w:val="0"/>
          <w:numId w:val="32"/>
        </w:numPr>
        <w:spacing w:after="200" w:line="276" w:lineRule="auto"/>
        <w:rPr>
          <w:rFonts w:cstheme="minorHAnsi"/>
        </w:rPr>
      </w:pPr>
      <w:proofErr w:type="gramStart"/>
      <w:r>
        <w:rPr>
          <w:rFonts w:cstheme="minorHAnsi"/>
        </w:rPr>
        <w:t>Dla :</w:t>
      </w:r>
      <w:proofErr w:type="gramEnd"/>
    </w:p>
    <w:p w:rsidR="00940299" w:rsidRDefault="00940299" w:rsidP="00940299">
      <w:pPr>
        <w:pStyle w:val="Akapitzlist"/>
        <w:rPr>
          <w:rFonts w:cstheme="minorHAnsi"/>
        </w:rPr>
      </w:pPr>
      <w:r>
        <w:rPr>
          <w:rFonts w:cstheme="minorHAnsi"/>
        </w:rPr>
        <w:t>- Wypowiedzenia;</w:t>
      </w:r>
    </w:p>
    <w:p w:rsidR="00940299" w:rsidRDefault="00940299" w:rsidP="00940299">
      <w:pPr>
        <w:pStyle w:val="Akapitzlist"/>
        <w:rPr>
          <w:rFonts w:cstheme="minorHAnsi"/>
        </w:rPr>
      </w:pPr>
      <w:r>
        <w:rPr>
          <w:rFonts w:cstheme="minorHAnsi"/>
        </w:rPr>
        <w:t>- Umorzenia;</w:t>
      </w:r>
    </w:p>
    <w:p w:rsidR="00940299" w:rsidRDefault="00940299" w:rsidP="00940299">
      <w:pPr>
        <w:pStyle w:val="Akapitzlist"/>
        <w:rPr>
          <w:rFonts w:cstheme="minorHAnsi"/>
        </w:rPr>
      </w:pPr>
      <w:r>
        <w:rPr>
          <w:rFonts w:cstheme="minorHAnsi"/>
        </w:rPr>
        <w:t>- Windykowania;</w:t>
      </w:r>
    </w:p>
    <w:p w:rsidR="00940299" w:rsidRDefault="00940299" w:rsidP="00940299">
      <w:pPr>
        <w:ind w:left="705"/>
        <w:rPr>
          <w:rFonts w:cstheme="minorHAnsi"/>
        </w:rPr>
      </w:pPr>
      <w:r>
        <w:rPr>
          <w:rFonts w:cstheme="minorHAnsi"/>
        </w:rPr>
        <w:t xml:space="preserve">Umożliwiono wprowadzanie indywidualnych wzorców wydruków. Nazwy wzorców pod jakimi należy zapisać pliki to </w:t>
      </w:r>
      <w:proofErr w:type="gramStart"/>
      <w:r>
        <w:rPr>
          <w:rFonts w:cstheme="minorHAnsi"/>
        </w:rPr>
        <w:t>odpowiednio :</w:t>
      </w:r>
      <w:proofErr w:type="gramEnd"/>
    </w:p>
    <w:p w:rsidR="00940299" w:rsidRDefault="00940299" w:rsidP="00940299">
      <w:pPr>
        <w:rPr>
          <w:rFonts w:cstheme="minorHAnsi"/>
          <w:b/>
        </w:rPr>
      </w:pPr>
      <w:r>
        <w:rPr>
          <w:rFonts w:cstheme="minorHAnsi"/>
        </w:rPr>
        <w:tab/>
        <w:t xml:space="preserve">- </w:t>
      </w:r>
      <w:r>
        <w:rPr>
          <w:rFonts w:cstheme="minorHAnsi"/>
          <w:b/>
        </w:rPr>
        <w:t>WYPOWIEDZENIE</w:t>
      </w:r>
    </w:p>
    <w:p w:rsidR="00940299" w:rsidRDefault="00940299" w:rsidP="00940299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- </w:t>
      </w:r>
      <w:r>
        <w:rPr>
          <w:rFonts w:cstheme="minorHAnsi"/>
          <w:b/>
        </w:rPr>
        <w:t>UMORZENIE</w:t>
      </w:r>
    </w:p>
    <w:p w:rsidR="00940299" w:rsidRDefault="00940299" w:rsidP="00940299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- </w:t>
      </w:r>
      <w:r>
        <w:rPr>
          <w:rFonts w:cstheme="minorHAnsi"/>
          <w:b/>
        </w:rPr>
        <w:t>WINDYKACJA</w:t>
      </w:r>
    </w:p>
    <w:p w:rsidR="00940299" w:rsidRDefault="00940299" w:rsidP="00940299">
      <w:pPr>
        <w:rPr>
          <w:rFonts w:cstheme="minorHAnsi"/>
        </w:rPr>
      </w:pPr>
      <w:r>
        <w:rPr>
          <w:rFonts w:cstheme="minorHAnsi"/>
        </w:rPr>
        <w:tab/>
        <w:t>Aby dokonać wydruku podczas, którejś z wymienionych operacji należy zaznaczyć ptaszek „Wydruk”</w:t>
      </w:r>
    </w:p>
    <w:p w:rsidR="00940299" w:rsidRPr="00AF07AA" w:rsidRDefault="00940299" w:rsidP="00940299">
      <w:pPr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3B188D0" wp14:editId="6CDA66BB">
            <wp:extent cx="4838700" cy="53911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9" w:rsidRDefault="00940299" w:rsidP="00940299">
      <w:pPr>
        <w:rPr>
          <w:rFonts w:cstheme="minorHAnsi"/>
          <w:b/>
        </w:rPr>
      </w:pPr>
    </w:p>
    <w:p w:rsidR="00940299" w:rsidRDefault="00940299" w:rsidP="00940299">
      <w:pPr>
        <w:pStyle w:val="Akapitzlist"/>
        <w:numPr>
          <w:ilvl w:val="0"/>
          <w:numId w:val="3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W liście zbiórek w Umowach Info dodano opcję przeglądania zbiórek </w:t>
      </w:r>
      <w:proofErr w:type="gramStart"/>
      <w:r>
        <w:rPr>
          <w:rFonts w:cstheme="minorHAnsi"/>
        </w:rPr>
        <w:t>nie oddanych</w:t>
      </w:r>
      <w:proofErr w:type="gramEnd"/>
      <w:r>
        <w:rPr>
          <w:rFonts w:cstheme="minorHAnsi"/>
        </w:rPr>
        <w:t xml:space="preserve"> przez danego pośrednika na przestrzeni całej jego pracy w firmie.</w:t>
      </w:r>
    </w:p>
    <w:p w:rsidR="00940299" w:rsidRDefault="00940299" w:rsidP="00940299">
      <w:pPr>
        <w:pStyle w:val="Akapitzlist"/>
        <w:rPr>
          <w:rFonts w:cstheme="minorHAnsi"/>
        </w:rPr>
      </w:pPr>
      <w:r>
        <w:rPr>
          <w:rFonts w:cstheme="minorHAnsi"/>
        </w:rPr>
        <w:t xml:space="preserve">Obok każdego dokumentu dołączono kolumnę tydzień dla lepszej </w:t>
      </w:r>
      <w:proofErr w:type="gramStart"/>
      <w:r>
        <w:rPr>
          <w:rFonts w:cstheme="minorHAnsi"/>
        </w:rPr>
        <w:t>orientacji z jakiego</w:t>
      </w:r>
      <w:proofErr w:type="gramEnd"/>
      <w:r>
        <w:rPr>
          <w:rFonts w:cstheme="minorHAnsi"/>
        </w:rPr>
        <w:t xml:space="preserve"> okresu pochodzi dany, niezwrócony dokument wpłaty.</w:t>
      </w:r>
    </w:p>
    <w:p w:rsidR="00940299" w:rsidRDefault="00940299" w:rsidP="00940299">
      <w:pPr>
        <w:rPr>
          <w:rFonts w:cstheme="minorHAnsi"/>
        </w:rPr>
      </w:pPr>
    </w:p>
    <w:p w:rsidR="00940299" w:rsidRDefault="00940299" w:rsidP="00940299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CFB50CB" wp14:editId="00577E80">
            <wp:extent cx="5753100" cy="20764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9" w:rsidRDefault="00940299" w:rsidP="00940299">
      <w:pPr>
        <w:rPr>
          <w:rFonts w:cstheme="minorHAnsi"/>
        </w:rPr>
      </w:pPr>
    </w:p>
    <w:p w:rsidR="00940299" w:rsidRDefault="00940299" w:rsidP="00940299">
      <w:pPr>
        <w:pStyle w:val="Akapitzlist"/>
        <w:numPr>
          <w:ilvl w:val="0"/>
          <w:numId w:val="3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Do wydruku listy zbiórek dodano nowe pole </w:t>
      </w:r>
      <w:r>
        <w:rPr>
          <w:rFonts w:cstheme="minorHAnsi"/>
          <w:b/>
        </w:rPr>
        <w:t>[</w:t>
      </w:r>
      <w:proofErr w:type="spellStart"/>
      <w:r>
        <w:rPr>
          <w:rFonts w:cstheme="minorHAnsi"/>
          <w:b/>
        </w:rPr>
        <w:t>RaportAgencyjny</w:t>
      </w:r>
      <w:proofErr w:type="spellEnd"/>
      <w:r>
        <w:rPr>
          <w:rFonts w:cstheme="minorHAnsi"/>
          <w:b/>
        </w:rPr>
        <w:t>.”PLAT_</w:t>
      </w:r>
      <w:proofErr w:type="gramStart"/>
      <w:r>
        <w:rPr>
          <w:rFonts w:cstheme="minorHAnsi"/>
          <w:b/>
        </w:rPr>
        <w:t xml:space="preserve">ANN”] – </w:t>
      </w:r>
      <w:r>
        <w:rPr>
          <w:rFonts w:cstheme="minorHAnsi"/>
        </w:rPr>
        <w:t>które</w:t>
      </w:r>
      <w:proofErr w:type="gramEnd"/>
      <w:r>
        <w:rPr>
          <w:rFonts w:cstheme="minorHAnsi"/>
        </w:rPr>
        <w:t xml:space="preserve"> jest odpowiednikiem średniej wartości raty dla danej umowy.</w:t>
      </w:r>
    </w:p>
    <w:p w:rsidR="00940299" w:rsidRPr="00C21B57" w:rsidRDefault="00940299" w:rsidP="00940299">
      <w:pPr>
        <w:pStyle w:val="Akapitzlist"/>
        <w:rPr>
          <w:rFonts w:cstheme="minorHAnsi"/>
        </w:rPr>
      </w:pPr>
    </w:p>
    <w:p w:rsidR="00940299" w:rsidRDefault="00940299" w:rsidP="00940299">
      <w:pPr>
        <w:pStyle w:val="Akapitzlist"/>
        <w:numPr>
          <w:ilvl w:val="0"/>
          <w:numId w:val="32"/>
        </w:numPr>
      </w:pPr>
      <w:r>
        <w:t>Raport spłat dla projektu JEREMI zostanie utworzony poprzez podsumowanie dokumentów, poprzednio system wykonywał raport w trybie „normalnym” jak dla tradycyjnej produktu a następnie wykonywał dzielenie środków według współczynników. Obecnie system w celu wykonania raportu JEREMI zbierze dane z dokumentów księgowych.</w:t>
      </w:r>
    </w:p>
    <w:p w:rsidR="00940299" w:rsidRDefault="00940299" w:rsidP="00940299">
      <w:pPr>
        <w:pStyle w:val="Akapitzlist"/>
        <w:ind w:left="1440"/>
      </w:pPr>
    </w:p>
    <w:p w:rsidR="00940299" w:rsidRDefault="00940299" w:rsidP="00940299">
      <w:pPr>
        <w:pStyle w:val="Akapitzlist"/>
        <w:numPr>
          <w:ilvl w:val="0"/>
          <w:numId w:val="32"/>
        </w:numPr>
      </w:pPr>
      <w:r>
        <w:t>Zmodyfikowano operacje sprawdzenie memoriału (DK), umożliwiając sprawdzenie</w:t>
      </w:r>
    </w:p>
    <w:p w:rsidR="00940299" w:rsidRDefault="00940299" w:rsidP="00940299">
      <w:pPr>
        <w:pStyle w:val="Akapitzlist"/>
      </w:pPr>
      <w:r>
        <w:t>Konta koszty korespondencji.</w:t>
      </w:r>
    </w:p>
    <w:p w:rsidR="00940299" w:rsidRDefault="00940299" w:rsidP="00940299">
      <w:pPr>
        <w:pStyle w:val="Akapitzlist"/>
      </w:pPr>
    </w:p>
    <w:p w:rsidR="00940299" w:rsidRDefault="00940299" w:rsidP="00940299">
      <w:pPr>
        <w:pStyle w:val="Akapitzlist"/>
        <w:numPr>
          <w:ilvl w:val="0"/>
          <w:numId w:val="32"/>
        </w:numPr>
      </w:pPr>
      <w:r>
        <w:t>Zmiana w opcji „Negocjacje” dodano możliwość zwrotu – umorzenia spłaconych już prowizji z tytułu</w:t>
      </w:r>
    </w:p>
    <w:p w:rsidR="00940299" w:rsidRDefault="00940299" w:rsidP="00940299">
      <w:pPr>
        <w:pStyle w:val="Akapitzlist"/>
      </w:pPr>
    </w:p>
    <w:p w:rsidR="00940299" w:rsidRDefault="00940299" w:rsidP="00940299">
      <w:pPr>
        <w:pStyle w:val="Akapitzlist"/>
        <w:numPr>
          <w:ilvl w:val="0"/>
          <w:numId w:val="34"/>
        </w:numPr>
      </w:pPr>
      <w:r>
        <w:t>Prowizja od korespondencji</w:t>
      </w:r>
    </w:p>
    <w:p w:rsidR="00940299" w:rsidRDefault="00940299" w:rsidP="00940299">
      <w:pPr>
        <w:pStyle w:val="Akapitzlist"/>
        <w:numPr>
          <w:ilvl w:val="0"/>
          <w:numId w:val="34"/>
        </w:numPr>
      </w:pPr>
      <w:r>
        <w:t>Prowizji ogólnych</w:t>
      </w:r>
    </w:p>
    <w:p w:rsidR="00940299" w:rsidRDefault="00940299" w:rsidP="00940299">
      <w:pPr>
        <w:pStyle w:val="Akapitzlist"/>
        <w:numPr>
          <w:ilvl w:val="0"/>
          <w:numId w:val="34"/>
        </w:numPr>
      </w:pPr>
      <w:r>
        <w:t>Prowizji z tytułu windykacji</w:t>
      </w:r>
    </w:p>
    <w:p w:rsidR="00940299" w:rsidRDefault="00940299" w:rsidP="00940299">
      <w:pPr>
        <w:pStyle w:val="Akapitzlist"/>
      </w:pPr>
    </w:p>
    <w:p w:rsidR="00940299" w:rsidRDefault="00940299" w:rsidP="00940299">
      <w:pPr>
        <w:pStyle w:val="Akapitzlist"/>
        <w:numPr>
          <w:ilvl w:val="0"/>
          <w:numId w:val="32"/>
        </w:numPr>
      </w:pPr>
      <w:r>
        <w:t>Zmieniono nazwę konta Droga na Bank, zmiana podyktowana</w:t>
      </w:r>
    </w:p>
    <w:p w:rsidR="00940299" w:rsidRDefault="00940299" w:rsidP="00940299">
      <w:pPr>
        <w:pStyle w:val="Akapitzlist"/>
      </w:pPr>
      <w:r>
        <w:t>Zwiększeniem czytelności dokumentów.</w:t>
      </w:r>
    </w:p>
    <w:p w:rsidR="00940299" w:rsidRDefault="00940299" w:rsidP="00940299">
      <w:pPr>
        <w:pStyle w:val="Akapitzlist"/>
        <w:ind w:left="1440"/>
      </w:pPr>
    </w:p>
    <w:p w:rsidR="00940299" w:rsidRPr="00940299" w:rsidRDefault="00940299" w:rsidP="00940299">
      <w:pPr>
        <w:pStyle w:val="Akapitzlist"/>
        <w:rPr>
          <w:rFonts w:cstheme="minorHAnsi"/>
        </w:rPr>
      </w:pPr>
    </w:p>
    <w:p w:rsidR="00940299" w:rsidRDefault="00940299" w:rsidP="00940299">
      <w:pPr>
        <w:pStyle w:val="Akapitzlist"/>
        <w:numPr>
          <w:ilvl w:val="0"/>
          <w:numId w:val="32"/>
        </w:numPr>
      </w:pPr>
      <w:r>
        <w:t>Zmiana w hurtowni danych dodano dwa nowe znaczniki</w:t>
      </w:r>
    </w:p>
    <w:p w:rsidR="00940299" w:rsidRDefault="00940299" w:rsidP="00940299">
      <w:pPr>
        <w:pStyle w:val="Akapitzlist"/>
        <w:numPr>
          <w:ilvl w:val="0"/>
          <w:numId w:val="35"/>
        </w:numPr>
      </w:pPr>
      <w:r>
        <w:t>Długość karencji</w:t>
      </w:r>
    </w:p>
    <w:p w:rsidR="00940299" w:rsidRDefault="00940299" w:rsidP="00940299">
      <w:pPr>
        <w:pStyle w:val="Akapitzlist"/>
        <w:numPr>
          <w:ilvl w:val="0"/>
          <w:numId w:val="35"/>
        </w:numPr>
      </w:pPr>
      <w:r>
        <w:t>Długość prolongaty</w:t>
      </w:r>
    </w:p>
    <w:p w:rsidR="00940299" w:rsidRDefault="00940299" w:rsidP="00940299">
      <w:pPr>
        <w:pStyle w:val="Akapitzlist"/>
        <w:spacing w:after="200" w:line="276" w:lineRule="auto"/>
        <w:rPr>
          <w:rFonts w:cstheme="minorHAnsi"/>
        </w:rPr>
      </w:pPr>
    </w:p>
    <w:p w:rsidR="00940299" w:rsidRPr="00AA66CA" w:rsidRDefault="00940299" w:rsidP="00940299">
      <w:pPr>
        <w:pStyle w:val="Akapitzlist"/>
        <w:numPr>
          <w:ilvl w:val="0"/>
          <w:numId w:val="3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Możliwość </w:t>
      </w:r>
      <w:r>
        <w:rPr>
          <w:rFonts w:cstheme="minorHAnsi"/>
          <w:b/>
        </w:rPr>
        <w:t>tekstowego</w:t>
      </w:r>
      <w:r>
        <w:rPr>
          <w:rFonts w:cstheme="minorHAnsi"/>
        </w:rPr>
        <w:t xml:space="preserve"> oznaczania statusu klientów. W menu </w:t>
      </w:r>
      <w:r>
        <w:rPr>
          <w:rFonts w:cstheme="minorHAnsi"/>
          <w:b/>
        </w:rPr>
        <w:t>Baza</w:t>
      </w:r>
      <w:r w:rsidRPr="00AA66CA">
        <w:rPr>
          <w:rFonts w:cstheme="minorHAnsi"/>
          <w:b/>
        </w:rPr>
        <w:sym w:font="Wingdings" w:char="F0E0"/>
      </w:r>
      <w:r>
        <w:rPr>
          <w:rFonts w:cstheme="minorHAnsi"/>
          <w:b/>
        </w:rPr>
        <w:t xml:space="preserve">Tabele </w:t>
      </w:r>
      <w:proofErr w:type="spellStart"/>
      <w:r>
        <w:rPr>
          <w:rFonts w:cstheme="minorHAnsi"/>
          <w:b/>
        </w:rPr>
        <w:t>skoringowe</w:t>
      </w:r>
      <w:proofErr w:type="spellEnd"/>
      <w:r w:rsidRPr="00AA66CA">
        <w:rPr>
          <w:rFonts w:cstheme="minorHAnsi"/>
          <w:b/>
        </w:rPr>
        <w:sym w:font="Wingdings" w:char="F0E0"/>
      </w:r>
      <w:r>
        <w:rPr>
          <w:rFonts w:cstheme="minorHAnsi"/>
          <w:b/>
        </w:rPr>
        <w:t xml:space="preserve">Historia spłacalności w programie </w:t>
      </w:r>
      <w:proofErr w:type="spellStart"/>
      <w:r>
        <w:rPr>
          <w:rFonts w:cstheme="minorHAnsi"/>
          <w:b/>
        </w:rPr>
        <w:t>pbaza</w:t>
      </w:r>
      <w:proofErr w:type="spellEnd"/>
    </w:p>
    <w:p w:rsidR="00940299" w:rsidRPr="00AA66CA" w:rsidRDefault="00940299" w:rsidP="00940299">
      <w:pPr>
        <w:pStyle w:val="Akapitzlist"/>
        <w:rPr>
          <w:rFonts w:cstheme="minorHAnsi"/>
        </w:rPr>
      </w:pPr>
    </w:p>
    <w:p w:rsidR="00940299" w:rsidRDefault="00940299" w:rsidP="00940299">
      <w:pPr>
        <w:pStyle w:val="Akapitzlist"/>
        <w:rPr>
          <w:rFonts w:cstheme="minorHAnsi"/>
        </w:rPr>
      </w:pPr>
      <w:r>
        <w:rPr>
          <w:rFonts w:cstheme="minorHAnsi"/>
        </w:rPr>
        <w:t>Dotychczas można było oznaczać klientów z opóźnieniami dowolnie wybranymi kolorami. Teraz oprócz kolorów możemy ich oznaczyć dowolnie wprowadzonym przez siebie tekstem.</w:t>
      </w:r>
    </w:p>
    <w:p w:rsidR="00940299" w:rsidRDefault="00940299" w:rsidP="00940299">
      <w:pPr>
        <w:pStyle w:val="Akapitzlist"/>
        <w:rPr>
          <w:rFonts w:cstheme="minorHAnsi"/>
        </w:rPr>
      </w:pPr>
      <w:r>
        <w:rPr>
          <w:rFonts w:cstheme="minorHAnsi"/>
        </w:rPr>
        <w:t xml:space="preserve">Dokonujemy tego poprzez zaznaczenie ptaszka </w:t>
      </w:r>
      <w:r>
        <w:rPr>
          <w:rFonts w:cstheme="minorHAnsi"/>
          <w:b/>
        </w:rPr>
        <w:t>Oznaczenie statusu tekstem</w:t>
      </w:r>
      <w:r>
        <w:rPr>
          <w:rFonts w:cstheme="minorHAnsi"/>
        </w:rPr>
        <w:t xml:space="preserve"> oraz wpisanie odpowiednich wartości w kolumnie „Oznaczenie statusu (tekstem)”.</w:t>
      </w:r>
    </w:p>
    <w:p w:rsidR="00940299" w:rsidRPr="002E6473" w:rsidRDefault="00940299" w:rsidP="00940299">
      <w:pPr>
        <w:pStyle w:val="Akapitzlist"/>
        <w:rPr>
          <w:rFonts w:cstheme="minorHAnsi"/>
          <w:b/>
        </w:rPr>
      </w:pPr>
      <w:r>
        <w:rPr>
          <w:rFonts w:cstheme="minorHAnsi"/>
        </w:rPr>
        <w:t xml:space="preserve">Po zapisaniu zmian oraz po ponownym zalogowaniu się do systemu </w:t>
      </w:r>
      <w:proofErr w:type="spellStart"/>
      <w:r>
        <w:rPr>
          <w:rFonts w:cstheme="minorHAnsi"/>
        </w:rPr>
        <w:t>pbaza</w:t>
      </w:r>
      <w:proofErr w:type="spellEnd"/>
      <w:r>
        <w:rPr>
          <w:rFonts w:cstheme="minorHAnsi"/>
        </w:rPr>
        <w:t xml:space="preserve"> status klienta oznaczony jest </w:t>
      </w:r>
      <w:r>
        <w:rPr>
          <w:rFonts w:cstheme="minorHAnsi"/>
          <w:b/>
        </w:rPr>
        <w:t xml:space="preserve">nie </w:t>
      </w:r>
      <w:proofErr w:type="gramStart"/>
      <w:r>
        <w:rPr>
          <w:rFonts w:cstheme="minorHAnsi"/>
          <w:b/>
        </w:rPr>
        <w:t xml:space="preserve">kolorami </w:t>
      </w:r>
      <w:r>
        <w:rPr>
          <w:rFonts w:cstheme="minorHAnsi"/>
        </w:rPr>
        <w:t>lecz</w:t>
      </w:r>
      <w:proofErr w:type="gramEnd"/>
      <w:r>
        <w:rPr>
          <w:rFonts w:cstheme="minorHAnsi"/>
        </w:rPr>
        <w:t xml:space="preserve"> wprowadzonymi przez nas </w:t>
      </w:r>
      <w:r>
        <w:rPr>
          <w:rFonts w:cstheme="minorHAnsi"/>
          <w:b/>
        </w:rPr>
        <w:t>oznaczeniami tekstowymi.</w:t>
      </w:r>
    </w:p>
    <w:p w:rsidR="00940299" w:rsidRDefault="00940299" w:rsidP="00153B61">
      <w:pPr>
        <w:pStyle w:val="Akapitzlist"/>
        <w:ind w:left="1440"/>
      </w:pPr>
    </w:p>
    <w:p w:rsidR="00153B61" w:rsidRDefault="00940299" w:rsidP="00153B61">
      <w:pPr>
        <w:pStyle w:val="Akapitzlist"/>
        <w:ind w:left="1440"/>
      </w:pPr>
      <w:r>
        <w:rPr>
          <w:rFonts w:cstheme="minorHAnsi"/>
          <w:b/>
          <w:noProof/>
        </w:rPr>
        <w:lastRenderedPageBreak/>
        <w:drawing>
          <wp:inline distT="0" distB="0" distL="0" distR="0" wp14:anchorId="263B05E5" wp14:editId="415DD7FD">
            <wp:extent cx="5760720" cy="3446910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B61" w:rsidRDefault="00153B61" w:rsidP="00153B61">
      <w:pPr>
        <w:pStyle w:val="Akapitzlist"/>
        <w:ind w:left="1440"/>
      </w:pPr>
    </w:p>
    <w:p w:rsidR="00153B61" w:rsidRDefault="00153B61" w:rsidP="001E62CB">
      <w:pPr>
        <w:ind w:left="720"/>
      </w:pPr>
    </w:p>
    <w:p w:rsidR="001E62CB" w:rsidRDefault="001E62CB" w:rsidP="001E62CB">
      <w:pPr>
        <w:ind w:left="720"/>
      </w:pPr>
      <w:r>
        <w:t>Instrukcja wgrania wersji</w:t>
      </w:r>
    </w:p>
    <w:p w:rsidR="001E62CB" w:rsidRDefault="001E62CB" w:rsidP="001E62CB">
      <w:pPr>
        <w:numPr>
          <w:ilvl w:val="0"/>
          <w:numId w:val="2"/>
        </w:numPr>
      </w:pPr>
      <w:r>
        <w:t xml:space="preserve">Wykonać kopię </w:t>
      </w:r>
      <w:proofErr w:type="gramStart"/>
      <w:r>
        <w:t>bazy !</w:t>
      </w:r>
      <w:proofErr w:type="gramEnd"/>
    </w:p>
    <w:p w:rsidR="001E62CB" w:rsidRDefault="001E62CB" w:rsidP="001E62CB">
      <w:pPr>
        <w:numPr>
          <w:ilvl w:val="0"/>
          <w:numId w:val="2"/>
        </w:numPr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1E62CB" w:rsidRDefault="001E62CB" w:rsidP="001E62CB">
      <w:pPr>
        <w:numPr>
          <w:ilvl w:val="0"/>
          <w:numId w:val="2"/>
        </w:numPr>
      </w:pPr>
      <w:r>
        <w:t>Wykonać instalacje bazy danych opcja Baza-&gt;Instalacja wersji</w:t>
      </w:r>
    </w:p>
    <w:p w:rsidR="00940299" w:rsidRPr="00940299" w:rsidRDefault="00940299" w:rsidP="001E62CB">
      <w:pPr>
        <w:numPr>
          <w:ilvl w:val="0"/>
          <w:numId w:val="2"/>
        </w:numPr>
        <w:rPr>
          <w:b/>
          <w:color w:val="FF0000"/>
        </w:rPr>
      </w:pPr>
      <w:r w:rsidRPr="00940299">
        <w:rPr>
          <w:b/>
          <w:color w:val="FF0000"/>
        </w:rPr>
        <w:t xml:space="preserve">UWAGA POPRAWIONO </w:t>
      </w:r>
      <w:proofErr w:type="gramStart"/>
      <w:r w:rsidRPr="00940299">
        <w:rPr>
          <w:b/>
          <w:color w:val="FF0000"/>
        </w:rPr>
        <w:t>ALGORYTM  LICZENIA</w:t>
      </w:r>
      <w:proofErr w:type="gramEnd"/>
      <w:r w:rsidRPr="00940299">
        <w:rPr>
          <w:b/>
          <w:color w:val="FF0000"/>
        </w:rPr>
        <w:t xml:space="preserve"> ODSETEK BARDZO PROSZĘ ZWRÓCIĆ UWAGĘ NA WARTOŚCI WYLICZONE ODSETEK</w:t>
      </w:r>
    </w:p>
    <w:p w:rsidR="001E62CB" w:rsidRDefault="001E62CB" w:rsidP="001E62CB">
      <w:pPr>
        <w:ind w:left="1080"/>
      </w:pPr>
    </w:p>
    <w:p w:rsidR="001E62CB" w:rsidRDefault="001E62CB" w:rsidP="001E62CB"/>
    <w:p w:rsidR="00316A32" w:rsidRPr="00644036" w:rsidRDefault="00316A32" w:rsidP="008B19F4">
      <w:pPr>
        <w:tabs>
          <w:tab w:val="left" w:pos="2985"/>
        </w:tabs>
      </w:pPr>
    </w:p>
    <w:sectPr w:rsidR="00316A32" w:rsidRPr="0064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1557E"/>
    <w:multiLevelType w:val="hybridMultilevel"/>
    <w:tmpl w:val="07A0DE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60B76"/>
    <w:multiLevelType w:val="hybridMultilevel"/>
    <w:tmpl w:val="BF325A54"/>
    <w:lvl w:ilvl="0" w:tplc="072C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5550A"/>
    <w:multiLevelType w:val="hybridMultilevel"/>
    <w:tmpl w:val="76B4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542A"/>
    <w:multiLevelType w:val="hybridMultilevel"/>
    <w:tmpl w:val="53AAF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16CA7"/>
    <w:multiLevelType w:val="hybridMultilevel"/>
    <w:tmpl w:val="C3CC05EC"/>
    <w:lvl w:ilvl="0" w:tplc="CBEE09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47774F"/>
    <w:multiLevelType w:val="hybridMultilevel"/>
    <w:tmpl w:val="A998D700"/>
    <w:lvl w:ilvl="0" w:tplc="9008E9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CE65E8"/>
    <w:multiLevelType w:val="hybridMultilevel"/>
    <w:tmpl w:val="7446FB3E"/>
    <w:lvl w:ilvl="0" w:tplc="AB72B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CF21A1"/>
    <w:multiLevelType w:val="hybridMultilevel"/>
    <w:tmpl w:val="8CA8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0D92"/>
    <w:multiLevelType w:val="hybridMultilevel"/>
    <w:tmpl w:val="AAEC8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760A3"/>
    <w:multiLevelType w:val="hybridMultilevel"/>
    <w:tmpl w:val="33D00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CD5F84"/>
    <w:multiLevelType w:val="hybridMultilevel"/>
    <w:tmpl w:val="1B504E4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F53499E"/>
    <w:multiLevelType w:val="hybridMultilevel"/>
    <w:tmpl w:val="0BC6FC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3B21FB"/>
    <w:multiLevelType w:val="hybridMultilevel"/>
    <w:tmpl w:val="E60C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A79F3"/>
    <w:multiLevelType w:val="hybridMultilevel"/>
    <w:tmpl w:val="4460A6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75567D"/>
    <w:multiLevelType w:val="hybridMultilevel"/>
    <w:tmpl w:val="229646D2"/>
    <w:lvl w:ilvl="0" w:tplc="EB4C6604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3DF47C25"/>
    <w:multiLevelType w:val="hybridMultilevel"/>
    <w:tmpl w:val="20EE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554D5"/>
    <w:multiLevelType w:val="hybridMultilevel"/>
    <w:tmpl w:val="4DB236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3293336"/>
    <w:multiLevelType w:val="hybridMultilevel"/>
    <w:tmpl w:val="D7B6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15C35"/>
    <w:multiLevelType w:val="hybridMultilevel"/>
    <w:tmpl w:val="F81609DE"/>
    <w:lvl w:ilvl="0" w:tplc="11A68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2141B1"/>
    <w:multiLevelType w:val="hybridMultilevel"/>
    <w:tmpl w:val="8EDC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A58EC"/>
    <w:multiLevelType w:val="hybridMultilevel"/>
    <w:tmpl w:val="FB6E71E4"/>
    <w:lvl w:ilvl="0" w:tplc="B63CC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13129B"/>
    <w:multiLevelType w:val="multilevel"/>
    <w:tmpl w:val="962E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650CE4"/>
    <w:multiLevelType w:val="hybridMultilevel"/>
    <w:tmpl w:val="779C21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214EFD"/>
    <w:multiLevelType w:val="hybridMultilevel"/>
    <w:tmpl w:val="FF60A32C"/>
    <w:lvl w:ilvl="0" w:tplc="EB78F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87765B"/>
    <w:multiLevelType w:val="hybridMultilevel"/>
    <w:tmpl w:val="C206FFD6"/>
    <w:lvl w:ilvl="0" w:tplc="71400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9C0E9F"/>
    <w:multiLevelType w:val="hybridMultilevel"/>
    <w:tmpl w:val="C8CE2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36D96"/>
    <w:multiLevelType w:val="hybridMultilevel"/>
    <w:tmpl w:val="BE52F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43629"/>
    <w:multiLevelType w:val="hybridMultilevel"/>
    <w:tmpl w:val="10A629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36007C"/>
    <w:multiLevelType w:val="hybridMultilevel"/>
    <w:tmpl w:val="972A8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F176B8"/>
    <w:multiLevelType w:val="hybridMultilevel"/>
    <w:tmpl w:val="5406E68A"/>
    <w:lvl w:ilvl="0" w:tplc="D41E37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3E33C0"/>
    <w:multiLevelType w:val="hybridMultilevel"/>
    <w:tmpl w:val="2176F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8B14DE"/>
    <w:multiLevelType w:val="hybridMultilevel"/>
    <w:tmpl w:val="ABE633F8"/>
    <w:lvl w:ilvl="0" w:tplc="717C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A62E4A"/>
    <w:multiLevelType w:val="hybridMultilevel"/>
    <w:tmpl w:val="09A4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</w:num>
  <w:num w:numId="5">
    <w:abstractNumId w:val="15"/>
  </w:num>
  <w:num w:numId="6">
    <w:abstractNumId w:val="30"/>
  </w:num>
  <w:num w:numId="7">
    <w:abstractNumId w:val="22"/>
  </w:num>
  <w:num w:numId="8">
    <w:abstractNumId w:val="0"/>
  </w:num>
  <w:num w:numId="9">
    <w:abstractNumId w:val="5"/>
  </w:num>
  <w:num w:numId="10">
    <w:abstractNumId w:val="28"/>
  </w:num>
  <w:num w:numId="11">
    <w:abstractNumId w:val="17"/>
  </w:num>
  <w:num w:numId="12">
    <w:abstractNumId w:val="33"/>
  </w:num>
  <w:num w:numId="13">
    <w:abstractNumId w:val="32"/>
  </w:num>
  <w:num w:numId="14">
    <w:abstractNumId w:val="9"/>
  </w:num>
  <w:num w:numId="15">
    <w:abstractNumId w:val="3"/>
  </w:num>
  <w:num w:numId="16">
    <w:abstractNumId w:val="25"/>
  </w:num>
  <w:num w:numId="17">
    <w:abstractNumId w:val="2"/>
  </w:num>
  <w:num w:numId="18">
    <w:abstractNumId w:val="19"/>
  </w:num>
  <w:num w:numId="19">
    <w:abstractNumId w:val="24"/>
  </w:num>
  <w:num w:numId="20">
    <w:abstractNumId w:val="11"/>
  </w:num>
  <w:num w:numId="21">
    <w:abstractNumId w:val="18"/>
  </w:num>
  <w:num w:numId="22">
    <w:abstractNumId w:val="10"/>
  </w:num>
  <w:num w:numId="23">
    <w:abstractNumId w:val="21"/>
  </w:num>
  <w:num w:numId="24">
    <w:abstractNumId w:val="26"/>
  </w:num>
  <w:num w:numId="25">
    <w:abstractNumId w:val="13"/>
  </w:num>
  <w:num w:numId="26">
    <w:abstractNumId w:val="31"/>
  </w:num>
  <w:num w:numId="27">
    <w:abstractNumId w:val="4"/>
  </w:num>
  <w:num w:numId="28">
    <w:abstractNumId w:val="29"/>
  </w:num>
  <w:num w:numId="29">
    <w:abstractNumId w:val="14"/>
  </w:num>
  <w:num w:numId="30">
    <w:abstractNumId w:val="12"/>
  </w:num>
  <w:num w:numId="31">
    <w:abstractNumId w:val="1"/>
  </w:num>
  <w:num w:numId="32">
    <w:abstractNumId w:val="20"/>
  </w:num>
  <w:num w:numId="33">
    <w:abstractNumId w:val="7"/>
  </w:num>
  <w:num w:numId="34">
    <w:abstractNumId w:val="2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6"/>
    <w:rsid w:val="000403B7"/>
    <w:rsid w:val="000570E9"/>
    <w:rsid w:val="00077EF3"/>
    <w:rsid w:val="0009104B"/>
    <w:rsid w:val="000B62A2"/>
    <w:rsid w:val="000B6D6D"/>
    <w:rsid w:val="000D1D02"/>
    <w:rsid w:val="000F7FAF"/>
    <w:rsid w:val="001133EE"/>
    <w:rsid w:val="001501C7"/>
    <w:rsid w:val="00153B61"/>
    <w:rsid w:val="00165875"/>
    <w:rsid w:val="00192B70"/>
    <w:rsid w:val="001C2EE1"/>
    <w:rsid w:val="001E62CB"/>
    <w:rsid w:val="00200CF6"/>
    <w:rsid w:val="0025124E"/>
    <w:rsid w:val="00285B68"/>
    <w:rsid w:val="002A7BAE"/>
    <w:rsid w:val="00313214"/>
    <w:rsid w:val="003163E7"/>
    <w:rsid w:val="00316A32"/>
    <w:rsid w:val="00331C1D"/>
    <w:rsid w:val="00342FF8"/>
    <w:rsid w:val="003462D6"/>
    <w:rsid w:val="003B19A9"/>
    <w:rsid w:val="00445CC0"/>
    <w:rsid w:val="00474926"/>
    <w:rsid w:val="004762CE"/>
    <w:rsid w:val="004D1B24"/>
    <w:rsid w:val="004F2E98"/>
    <w:rsid w:val="00552634"/>
    <w:rsid w:val="005A36AF"/>
    <w:rsid w:val="005B6DD6"/>
    <w:rsid w:val="005E25CD"/>
    <w:rsid w:val="006061C4"/>
    <w:rsid w:val="00644036"/>
    <w:rsid w:val="006540D3"/>
    <w:rsid w:val="006D6B49"/>
    <w:rsid w:val="006F55BB"/>
    <w:rsid w:val="007422F4"/>
    <w:rsid w:val="007443E4"/>
    <w:rsid w:val="00786B7A"/>
    <w:rsid w:val="007B7413"/>
    <w:rsid w:val="007E7302"/>
    <w:rsid w:val="00835203"/>
    <w:rsid w:val="00851B00"/>
    <w:rsid w:val="008637FB"/>
    <w:rsid w:val="00876BC4"/>
    <w:rsid w:val="0088402F"/>
    <w:rsid w:val="008A3CD1"/>
    <w:rsid w:val="008B19F4"/>
    <w:rsid w:val="00907BA3"/>
    <w:rsid w:val="00912561"/>
    <w:rsid w:val="009156BB"/>
    <w:rsid w:val="00930409"/>
    <w:rsid w:val="00931EE0"/>
    <w:rsid w:val="00940299"/>
    <w:rsid w:val="009A5DCF"/>
    <w:rsid w:val="009D6052"/>
    <w:rsid w:val="009D7094"/>
    <w:rsid w:val="009F2038"/>
    <w:rsid w:val="00A41036"/>
    <w:rsid w:val="00B24A3B"/>
    <w:rsid w:val="00B35464"/>
    <w:rsid w:val="00B421D5"/>
    <w:rsid w:val="00B807F5"/>
    <w:rsid w:val="00B97C77"/>
    <w:rsid w:val="00BC3445"/>
    <w:rsid w:val="00BC72FE"/>
    <w:rsid w:val="00BE1EFA"/>
    <w:rsid w:val="00C20B86"/>
    <w:rsid w:val="00C22C1E"/>
    <w:rsid w:val="00C2533B"/>
    <w:rsid w:val="00C464FB"/>
    <w:rsid w:val="00C90B56"/>
    <w:rsid w:val="00CE5531"/>
    <w:rsid w:val="00D156A2"/>
    <w:rsid w:val="00D213FB"/>
    <w:rsid w:val="00D21DA7"/>
    <w:rsid w:val="00D70D52"/>
    <w:rsid w:val="00D7398C"/>
    <w:rsid w:val="00D942EB"/>
    <w:rsid w:val="00DB1F99"/>
    <w:rsid w:val="00DB2383"/>
    <w:rsid w:val="00DC1F72"/>
    <w:rsid w:val="00E101C1"/>
    <w:rsid w:val="00E148FB"/>
    <w:rsid w:val="00E707B8"/>
    <w:rsid w:val="00E71AEB"/>
    <w:rsid w:val="00E83DF8"/>
    <w:rsid w:val="00E8484D"/>
    <w:rsid w:val="00EB05C9"/>
    <w:rsid w:val="00EB48CA"/>
    <w:rsid w:val="00EC49E9"/>
    <w:rsid w:val="00EE6AEC"/>
    <w:rsid w:val="00EF4182"/>
    <w:rsid w:val="00F156B1"/>
    <w:rsid w:val="00F252E4"/>
    <w:rsid w:val="00F446F9"/>
    <w:rsid w:val="00F46DC4"/>
    <w:rsid w:val="00FA7F0D"/>
    <w:rsid w:val="00FC249D"/>
    <w:rsid w:val="00FC4470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BACC-C8EB-4CCE-9CBC-9E3D628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12</cp:revision>
  <dcterms:created xsi:type="dcterms:W3CDTF">2012-08-17T14:46:00Z</dcterms:created>
  <dcterms:modified xsi:type="dcterms:W3CDTF">2012-10-24T13:17:00Z</dcterms:modified>
</cp:coreProperties>
</file>